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48" w:rsidRPr="006A1F48" w:rsidRDefault="006A1F48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center"/>
        <w:rPr>
          <w:color w:val="4F4F4F"/>
        </w:rPr>
      </w:pPr>
      <w:r w:rsidRPr="006A1F48">
        <w:rPr>
          <w:rStyle w:val="a4"/>
          <w:color w:val="4F4F4F"/>
        </w:rPr>
        <w:t>Об ограничении права кредитных организаций на отказ в выполнении распоряжений клиентов в совершении операций</w:t>
      </w:r>
    </w:p>
    <w:p w:rsidR="006A1F48" w:rsidRPr="006A1F48" w:rsidRDefault="006A1F48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  <w:r w:rsidRPr="006A1F48">
        <w:rPr>
          <w:color w:val="4F4F4F"/>
        </w:rPr>
        <w:t>В конце декабря 2020 года Государственная Дума Федерального Собрания Российской Федерации приняла Федеральный закон </w:t>
      </w:r>
      <w:hyperlink r:id="rId5" w:history="1">
        <w:r w:rsidRPr="006A1F48">
          <w:rPr>
            <w:rStyle w:val="a5"/>
            <w:color w:val="0066CC"/>
          </w:rPr>
          <w:t>«О внесении изменений в Федеральный закон «О противодействии легализации (отмыванию) доходов, полученных преступным путем, и финансированию терроризма»</w:t>
        </w:r>
      </w:hyperlink>
      <w:r w:rsidRPr="006A1F48">
        <w:rPr>
          <w:color w:val="4F4F4F"/>
        </w:rPr>
        <w:t xml:space="preserve"> (далее - Закон). </w:t>
      </w:r>
      <w:proofErr w:type="gramStart"/>
      <w:r w:rsidRPr="006A1F48">
        <w:rPr>
          <w:color w:val="4F4F4F"/>
        </w:rPr>
        <w:t>Закон был разработан во исполнение пункта 4 Перечня поручений Президента Российской Федерации от 11 апреля 2018 г. № Пр-613 по итогам встречи с женщинами-предпринимателями 7 марта 2018 г. в целях оптимизации подходов к применению кредитными организациями мер, направленных на противодействие легализации (отмыванию) доходов, полученных преступным путем, и финансированию терроризма, а также в целях защиты интересов добросовестных клиентов кредитных организаций.</w:t>
      </w:r>
      <w:proofErr w:type="gramEnd"/>
    </w:p>
    <w:p w:rsidR="006A1F48" w:rsidRPr="006A1F48" w:rsidRDefault="006A1F48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  <w:r w:rsidRPr="006A1F48">
        <w:rPr>
          <w:color w:val="4F4F4F"/>
        </w:rPr>
        <w:t xml:space="preserve">Изменения законодательства Российской Федерации, предусмотренные Законом, направлены на исключение необоснованного применения кредитными организациями права на отказ в выполнении распоряжений клиентов в совершении операций. Теперь по Закону банки обязаны сами </w:t>
      </w:r>
      <w:proofErr w:type="gramStart"/>
      <w:r w:rsidRPr="006A1F48">
        <w:rPr>
          <w:color w:val="4F4F4F"/>
        </w:rPr>
        <w:t>сообщать клиентам о причинах отказа проводить</w:t>
      </w:r>
      <w:proofErr w:type="gramEnd"/>
      <w:r w:rsidRPr="006A1F48">
        <w:rPr>
          <w:color w:val="4F4F4F"/>
        </w:rPr>
        <w:t xml:space="preserve"> операции в течение 5 рабочих дней со дня принятия соответствующего решения. Подобные правила касаются также и случаев отказа заключать с физическими лицами договоры банковского счета (вклада), а также их расторжения по инициативе кредитной организации.</w:t>
      </w:r>
    </w:p>
    <w:p w:rsidR="006A1F48" w:rsidRDefault="006A1F48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  <w:proofErr w:type="gramStart"/>
      <w:r w:rsidRPr="006A1F48">
        <w:rPr>
          <w:color w:val="4F4F4F"/>
        </w:rPr>
        <w:t>Напомним, что основаниями для отказов кредитных организаций в выполнении распоряжений клиентов о совершении операций являются положения пункта 11 статьи 7 Федерального закона от 7 августа 2001 г. № 115-ФЗ «О противодействии легализации (отмыванию) доходов, полученных преступным путем, и финансированию терроризма», то есть при непредставлении по банковской операции документов, необходимых для фиксирования информации в соответствии с положениями данного закона, а также когда</w:t>
      </w:r>
      <w:proofErr w:type="gramEnd"/>
      <w:r w:rsidRPr="006A1F48">
        <w:rPr>
          <w:color w:val="4F4F4F"/>
        </w:rPr>
        <w:t xml:space="preserve">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 терроризма у работников организации, осуществляющей операции с денежными средствами или иным имуществом, возникают подозрения, что операция совершается в целях легализации (отмывания) доходов, полученных преступным путем, или финансирования терроризма.</w:t>
      </w: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Default="0090278E" w:rsidP="006A1F48">
      <w:pPr>
        <w:pStyle w:val="a3"/>
        <w:shd w:val="clear" w:color="auto" w:fill="FFFFFF"/>
        <w:spacing w:before="0" w:beforeAutospacing="0" w:after="240" w:afterAutospacing="0"/>
        <w:ind w:left="-851" w:firstLine="851"/>
        <w:jc w:val="both"/>
        <w:rPr>
          <w:color w:val="4F4F4F"/>
        </w:rPr>
      </w:pPr>
    </w:p>
    <w:p w:rsidR="0090278E" w:rsidRPr="0090278E" w:rsidRDefault="005D39CC" w:rsidP="0090278E">
      <w:pPr>
        <w:pStyle w:val="1"/>
        <w:pBdr>
          <w:bottom w:val="single" w:sz="18" w:space="5" w:color="3D658F"/>
        </w:pBdr>
        <w:spacing w:before="0" w:beforeAutospacing="0" w:after="0" w:afterAutospacing="0"/>
        <w:jc w:val="center"/>
        <w:rPr>
          <w:b w:val="0"/>
          <w:bCs w:val="0"/>
          <w:caps/>
          <w:color w:val="191919"/>
          <w:sz w:val="28"/>
          <w:szCs w:val="28"/>
        </w:rPr>
      </w:pPr>
      <w:r>
        <w:rPr>
          <w:b w:val="0"/>
          <w:bCs w:val="0"/>
          <w:caps/>
          <w:color w:val="191919"/>
          <w:sz w:val="28"/>
          <w:szCs w:val="28"/>
        </w:rPr>
        <w:lastRenderedPageBreak/>
        <w:t>ОТВ</w:t>
      </w:r>
      <w:r w:rsidR="0090278E" w:rsidRPr="0090278E">
        <w:rPr>
          <w:b w:val="0"/>
          <w:bCs w:val="0"/>
          <w:caps/>
          <w:color w:val="191919"/>
          <w:sz w:val="28"/>
          <w:szCs w:val="28"/>
        </w:rPr>
        <w:t>ЕТСТВЕННОСТЬ ЗА ПРИБОРЫ УЧЕТА ЭЛЕКТРОЭНЕРГИИ ПЕРЕшла ОТ ПОТРЕБИТЕЛЕЙ К ЭНЕРГЕТИЧЕСКИМ КОМПАНИЯМ</w:t>
      </w:r>
    </w:p>
    <w:p w:rsidR="0090278E" w:rsidRDefault="0090278E" w:rsidP="0090278E">
      <w:pPr>
        <w:pStyle w:val="a3"/>
        <w:spacing w:before="0" w:beforeAutospacing="0" w:after="180" w:afterAutospacing="0"/>
        <w:jc w:val="both"/>
      </w:pPr>
    </w:p>
    <w:p w:rsidR="0090278E" w:rsidRDefault="0090278E" w:rsidP="0090278E">
      <w:pPr>
        <w:pStyle w:val="a3"/>
        <w:spacing w:before="0" w:beforeAutospacing="0" w:after="180" w:afterAutospacing="0"/>
        <w:ind w:left="-851"/>
        <w:jc w:val="both"/>
      </w:pPr>
      <w:r>
        <w:t xml:space="preserve">В соответствии с федеральным законодательством с 1 июля 2020 года ответственность за приборы учета электроэнергии перейдет к энергетическим компаниям: гарантирующим поставщикам в многоквартирных домах и к сетевым компаниям в случае с прочими потребителями (к </w:t>
      </w:r>
      <w:proofErr w:type="gramStart"/>
      <w:r>
        <w:t>ним</w:t>
      </w:r>
      <w:proofErr w:type="gramEnd"/>
      <w:r>
        <w:t xml:space="preserve"> в том числе относятся потребители в частной жилой застройке).</w:t>
      </w:r>
    </w:p>
    <w:p w:rsidR="0090278E" w:rsidRDefault="0090278E" w:rsidP="0090278E">
      <w:pPr>
        <w:pStyle w:val="a3"/>
        <w:spacing w:before="0" w:beforeAutospacing="0" w:after="180" w:afterAutospacing="0"/>
        <w:ind w:left="-851"/>
        <w:jc w:val="both"/>
      </w:pPr>
      <w:r>
        <w:t>С потребителя снимается вся ответственность за обслуживание и поверку приборов учета. За потребителем остается обязанность следить за сохранностью прибора учета, если он установлен в его зоне ответственности (например, в квартире или на земельном участке, где стоит частный дом). Затраты, которые ранее несли потребители, теперь будут нести гарантирующие поставщики и сетевые организации.</w:t>
      </w:r>
    </w:p>
    <w:p w:rsidR="0090278E" w:rsidRDefault="0090278E" w:rsidP="0090278E">
      <w:pPr>
        <w:pStyle w:val="a3"/>
        <w:spacing w:before="0" w:beforeAutospacing="0" w:after="180" w:afterAutospacing="0"/>
        <w:ind w:left="-851"/>
        <w:jc w:val="both"/>
      </w:pPr>
      <w:r>
        <w:t xml:space="preserve">Обязательные требования к приборам учета на первом этапе не изменятся. На втором этапе, с 1 января 2022 года, вступают в силу требования, предусматривающие установку интеллектуальных приборов учета, которые станут ключевым элементом интеллектуальных систем учета энергии. Рядовым потребителям «умные» приборы учета позволяют </w:t>
      </w:r>
      <w:proofErr w:type="spellStart"/>
      <w:r>
        <w:t>онлайн</w:t>
      </w:r>
      <w:proofErr w:type="spellEnd"/>
      <w:r>
        <w:t xml:space="preserve"> следить за показаниями, при этом их можно проверить и на самом приборе учета. Также данные в автоматическом режиме передаются в </w:t>
      </w:r>
      <w:proofErr w:type="spellStart"/>
      <w:r>
        <w:t>энергокомпании</w:t>
      </w:r>
      <w:proofErr w:type="spellEnd"/>
      <w:r>
        <w:t xml:space="preserve">. Интеллектуальные приборы учета фиксируют уровень напряжения и частоту, </w:t>
      </w:r>
      <w:proofErr w:type="gramStart"/>
      <w:r>
        <w:t>позволяя</w:t>
      </w:r>
      <w:proofErr w:type="gramEnd"/>
      <w:r>
        <w:t xml:space="preserve"> таким образом потребителям следить за качеством электроэнергии. Кроме того, при интеллектуальном учете у потребителей появляется возможность дистанционной смены тарифа без замены прибора учета (существуют три группы тарифов на электроэнергию, разделенные в зависимости от времени потребления в течение суток).</w:t>
      </w:r>
    </w:p>
    <w:p w:rsidR="0090278E" w:rsidRDefault="0090278E" w:rsidP="0090278E">
      <w:pPr>
        <w:pStyle w:val="a3"/>
        <w:spacing w:before="0" w:beforeAutospacing="0" w:after="180" w:afterAutospacing="0"/>
        <w:ind w:left="-851"/>
        <w:jc w:val="both"/>
      </w:pPr>
      <w:r>
        <w:t xml:space="preserve">Замена приборов учета на </w:t>
      </w:r>
      <w:proofErr w:type="gramStart"/>
      <w:r>
        <w:t>интеллектуальные</w:t>
      </w:r>
      <w:proofErr w:type="gramEnd"/>
      <w:r>
        <w:t xml:space="preserve"> будет происходить поэтапно. Новые приборы учета установят новым потребителям в рамках технологического присоединения. Действующее оборудование будет меняться по мере выхода из строя, поломки или истечения </w:t>
      </w:r>
      <w:proofErr w:type="spellStart"/>
      <w:r>
        <w:t>межповерочного</w:t>
      </w:r>
      <w:proofErr w:type="spellEnd"/>
      <w:r>
        <w:t xml:space="preserve"> интервала.</w:t>
      </w:r>
    </w:p>
    <w:p w:rsidR="0090278E" w:rsidRDefault="0090278E" w:rsidP="0090278E">
      <w:pPr>
        <w:pStyle w:val="a3"/>
        <w:spacing w:before="0" w:beforeAutospacing="0" w:after="180" w:afterAutospacing="0"/>
        <w:ind w:left="-851"/>
        <w:jc w:val="both"/>
      </w:pPr>
      <w:r>
        <w:t xml:space="preserve">Рост тарифов на электроэнергию в России ограничен уровнем «инфляция минус» и тарифы не вырастут сверх него в связи с появлением у гарантирующих поставщиков и сетевых компаний новых обязанностей по организации учета. </w:t>
      </w:r>
    </w:p>
    <w:p w:rsidR="006A1F48" w:rsidRPr="00D31041" w:rsidRDefault="006A1F48" w:rsidP="006A1F48">
      <w:pPr>
        <w:pStyle w:val="a3"/>
        <w:shd w:val="clear" w:color="auto" w:fill="FFFFFF"/>
        <w:spacing w:before="0" w:beforeAutospacing="0" w:after="0" w:afterAutospacing="0"/>
        <w:ind w:hanging="851"/>
        <w:jc w:val="both"/>
        <w:rPr>
          <w:b/>
        </w:rPr>
      </w:pPr>
      <w:r w:rsidRPr="00D31041">
        <w:rPr>
          <w:b/>
        </w:rPr>
        <w:t>Юрисконсульт по вопросам защиты прав потребителей</w:t>
      </w:r>
    </w:p>
    <w:p w:rsidR="006A1F48" w:rsidRPr="00D31041" w:rsidRDefault="006A1F48" w:rsidP="006A1F48">
      <w:pPr>
        <w:pStyle w:val="a3"/>
        <w:shd w:val="clear" w:color="auto" w:fill="FFFFFF"/>
        <w:spacing w:before="0" w:beforeAutospacing="0" w:after="0" w:afterAutospacing="0"/>
        <w:ind w:hanging="851"/>
        <w:jc w:val="both"/>
        <w:rPr>
          <w:b/>
        </w:rPr>
      </w:pPr>
      <w:r w:rsidRPr="00D31041">
        <w:rPr>
          <w:b/>
        </w:rPr>
        <w:t xml:space="preserve">Новоорского филиала ФБУЗ  </w:t>
      </w:r>
    </w:p>
    <w:p w:rsidR="006A1F48" w:rsidRPr="00D31041" w:rsidRDefault="006A1F48" w:rsidP="006A1F48">
      <w:pPr>
        <w:pStyle w:val="a3"/>
        <w:shd w:val="clear" w:color="auto" w:fill="FFFFFF"/>
        <w:spacing w:before="0" w:beforeAutospacing="0" w:after="0" w:afterAutospacing="0"/>
        <w:ind w:hanging="851"/>
        <w:jc w:val="both"/>
        <w:rPr>
          <w:b/>
        </w:rPr>
      </w:pPr>
      <w:r w:rsidRPr="00D31041">
        <w:rPr>
          <w:b/>
        </w:rPr>
        <w:t>«Центра гигиены и эпидемиологии в Оренбургской области»</w:t>
      </w:r>
      <w:r>
        <w:rPr>
          <w:b/>
        </w:rPr>
        <w:t xml:space="preserve">                                </w:t>
      </w:r>
      <w:r w:rsidRPr="00D31041">
        <w:rPr>
          <w:b/>
        </w:rPr>
        <w:t>К.К.Кужакова</w:t>
      </w:r>
    </w:p>
    <w:p w:rsidR="006A1F48" w:rsidRDefault="006A1F48" w:rsidP="006A1F48">
      <w:pPr>
        <w:spacing w:after="0" w:line="240" w:lineRule="auto"/>
        <w:ind w:hanging="851"/>
        <w:jc w:val="both"/>
        <w:textAlignment w:val="baseline"/>
        <w:rPr>
          <w:rFonts w:ascii="Times New Roman" w:eastAsia="Times New Roman" w:hAnsi="Times New Roman" w:cs="Times New Roman"/>
          <w:b/>
          <w:color w:val="323232"/>
          <w:sz w:val="24"/>
          <w:szCs w:val="24"/>
        </w:rPr>
      </w:pPr>
    </w:p>
    <w:p w:rsidR="006A1F48" w:rsidRPr="006A1F48" w:rsidRDefault="006A1F48" w:rsidP="006A1F48">
      <w:pPr>
        <w:spacing w:after="0" w:line="240" w:lineRule="auto"/>
        <w:ind w:left="-851" w:firstLine="851"/>
        <w:jc w:val="both"/>
        <w:textAlignment w:val="baseline"/>
        <w:rPr>
          <w:rFonts w:ascii="Times New Roman" w:eastAsia="Times New Roman" w:hAnsi="Times New Roman" w:cs="Times New Roman"/>
          <w:b/>
          <w:color w:val="323232"/>
          <w:sz w:val="24"/>
          <w:szCs w:val="24"/>
        </w:rPr>
      </w:pPr>
    </w:p>
    <w:sectPr w:rsidR="006A1F48" w:rsidRPr="006A1F48" w:rsidSect="00D3104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A2372"/>
    <w:multiLevelType w:val="multilevel"/>
    <w:tmpl w:val="11729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8225CA"/>
    <w:multiLevelType w:val="multilevel"/>
    <w:tmpl w:val="88F0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CA7"/>
    <w:rsid w:val="00195D22"/>
    <w:rsid w:val="002444D4"/>
    <w:rsid w:val="002539A1"/>
    <w:rsid w:val="00265FFD"/>
    <w:rsid w:val="0032192A"/>
    <w:rsid w:val="003552CE"/>
    <w:rsid w:val="004233BE"/>
    <w:rsid w:val="00511888"/>
    <w:rsid w:val="005D39CC"/>
    <w:rsid w:val="00604BC9"/>
    <w:rsid w:val="00684C46"/>
    <w:rsid w:val="006A1F48"/>
    <w:rsid w:val="006C0BAA"/>
    <w:rsid w:val="007966F9"/>
    <w:rsid w:val="00835DD9"/>
    <w:rsid w:val="008678A4"/>
    <w:rsid w:val="008C391F"/>
    <w:rsid w:val="0090278E"/>
    <w:rsid w:val="00A07BC8"/>
    <w:rsid w:val="00A72952"/>
    <w:rsid w:val="00AB1C22"/>
    <w:rsid w:val="00B53EE9"/>
    <w:rsid w:val="00CC33C8"/>
    <w:rsid w:val="00CC7586"/>
    <w:rsid w:val="00D10629"/>
    <w:rsid w:val="00D31041"/>
    <w:rsid w:val="00D77CA7"/>
    <w:rsid w:val="00E10517"/>
    <w:rsid w:val="00FA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A4"/>
  </w:style>
  <w:style w:type="paragraph" w:styleId="1">
    <w:name w:val="heading 1"/>
    <w:basedOn w:val="a"/>
    <w:link w:val="10"/>
    <w:uiPriority w:val="9"/>
    <w:qFormat/>
    <w:rsid w:val="00AB1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027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7C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1C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AB1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B1C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027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-share">
    <w:name w:val="b-share"/>
    <w:basedOn w:val="a0"/>
    <w:rsid w:val="0090278E"/>
  </w:style>
  <w:style w:type="character" w:styleId="a6">
    <w:name w:val="FollowedHyperlink"/>
    <w:basedOn w:val="a0"/>
    <w:uiPriority w:val="99"/>
    <w:semiHidden/>
    <w:unhideWhenUsed/>
    <w:rsid w:val="0090278E"/>
    <w:rPr>
      <w:color w:val="800080"/>
      <w:u w:val="single"/>
    </w:rPr>
  </w:style>
  <w:style w:type="character" w:customStyle="1" w:styleId="b-share-icon">
    <w:name w:val="b-share-icon"/>
    <w:basedOn w:val="a0"/>
    <w:rsid w:val="0090278E"/>
  </w:style>
  <w:style w:type="character" w:customStyle="1" w:styleId="date-display-single">
    <w:name w:val="date-display-single"/>
    <w:basedOn w:val="a0"/>
    <w:rsid w:val="0090278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027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0278E"/>
    <w:rPr>
      <w:rFonts w:ascii="Arial" w:eastAsia="Times New Roman" w:hAnsi="Arial" w:cs="Arial"/>
      <w:vanish/>
      <w:sz w:val="16"/>
      <w:szCs w:val="16"/>
    </w:rPr>
  </w:style>
  <w:style w:type="character" w:customStyle="1" w:styleId="average-rating">
    <w:name w:val="average-rating"/>
    <w:basedOn w:val="a0"/>
    <w:rsid w:val="0090278E"/>
  </w:style>
  <w:style w:type="character" w:customStyle="1" w:styleId="total-votes">
    <w:name w:val="total-votes"/>
    <w:basedOn w:val="a0"/>
    <w:rsid w:val="0090278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027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0278E"/>
    <w:rPr>
      <w:rFonts w:ascii="Arial" w:eastAsia="Times New Roman" w:hAnsi="Arial" w:cs="Arial"/>
      <w:vanish/>
      <w:sz w:val="16"/>
      <w:szCs w:val="16"/>
    </w:rPr>
  </w:style>
  <w:style w:type="character" w:customStyle="1" w:styleId="sf-sub-indicator">
    <w:name w:val="sf-sub-indicator"/>
    <w:basedOn w:val="a0"/>
    <w:rsid w:val="00902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652">
          <w:marLeft w:val="0"/>
          <w:marRight w:val="-18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2F2F2"/>
          </w:divBdr>
          <w:divsChild>
            <w:div w:id="1807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</w:div>
            <w:div w:id="2094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5120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3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9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004457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9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2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2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5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9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352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66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31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19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989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46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0126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3608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833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237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924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45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0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0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0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9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7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0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79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17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11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1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5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75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2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56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63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266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9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7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zd.duma.gov.ru/bill/94853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2019-10-04T03:35:00Z</dcterms:created>
  <dcterms:modified xsi:type="dcterms:W3CDTF">2021-02-08T08:46:00Z</dcterms:modified>
</cp:coreProperties>
</file>